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39F0B2" w14:textId="77777777" w:rsidR="0064114F" w:rsidRPr="006519A0" w:rsidRDefault="001E382A">
      <w:pPr>
        <w:spacing w:before="240" w:after="240"/>
        <w:rPr>
          <w:b/>
          <w:bCs/>
          <w:sz w:val="28"/>
          <w:szCs w:val="28"/>
          <w:lang w:val="pl-PL"/>
        </w:rPr>
      </w:pPr>
      <w:r w:rsidRPr="006519A0">
        <w:rPr>
          <w:b/>
          <w:bCs/>
          <w:sz w:val="28"/>
          <w:szCs w:val="28"/>
          <w:lang w:val="pl-PL"/>
        </w:rPr>
        <w:t>Nie przeszkadzaj w swobodnej zabawie, czyli jak wspierać rozwój dzieci</w:t>
      </w:r>
    </w:p>
    <w:p w14:paraId="4FD3A2A5" w14:textId="77777777" w:rsidR="0064114F" w:rsidRPr="006519A0" w:rsidRDefault="001E382A">
      <w:pPr>
        <w:rPr>
          <w:b/>
          <w:bCs/>
          <w:sz w:val="20"/>
          <w:szCs w:val="20"/>
          <w:lang w:val="pl-PL"/>
        </w:rPr>
      </w:pPr>
      <w:r w:rsidRPr="006519A0">
        <w:rPr>
          <w:b/>
          <w:bCs/>
          <w:sz w:val="20"/>
          <w:szCs w:val="20"/>
          <w:lang w:val="pl-PL"/>
        </w:rPr>
        <w:t xml:space="preserve"> </w:t>
      </w:r>
    </w:p>
    <w:p w14:paraId="051386CF" w14:textId="77777777" w:rsidR="0064114F" w:rsidRPr="006519A0" w:rsidRDefault="001E382A">
      <w:pPr>
        <w:spacing w:before="240" w:after="240"/>
        <w:jc w:val="both"/>
        <w:rPr>
          <w:rFonts w:ascii="Arial" w:eastAsia="Arial" w:hAnsi="Arial" w:cs="Arial"/>
          <w:b/>
          <w:bCs/>
          <w:lang w:val="pl-PL"/>
        </w:rPr>
      </w:pPr>
      <w:r w:rsidRPr="006519A0">
        <w:rPr>
          <w:rFonts w:ascii="Arial" w:eastAsia="Arial" w:hAnsi="Arial" w:cs="Arial"/>
          <w:b/>
          <w:bCs/>
          <w:lang w:val="pl-PL"/>
        </w:rPr>
        <w:t xml:space="preserve">Dzieci w wieku przedszkolnym są najsilniej zaangażowane w zabawę </w:t>
      </w:r>
      <w:r w:rsidRPr="006519A0">
        <w:rPr>
          <w:rFonts w:ascii="Arial" w:eastAsia="Arial" w:hAnsi="Arial" w:cs="Arial"/>
          <w:b/>
          <w:bCs/>
          <w:lang w:val="pl-PL"/>
        </w:rPr>
        <w:t xml:space="preserve">swobodną w 10-15 minucie od jej rozpoczęcia. Dziewczynki wykazują przy tym wyższe umiejętności organizacyjne – wynika z badania przeprowadzonego przez </w:t>
      </w:r>
      <w:proofErr w:type="spellStart"/>
      <w:r w:rsidRPr="006519A0">
        <w:rPr>
          <w:rFonts w:ascii="Arial" w:eastAsia="Arial" w:hAnsi="Arial" w:cs="Arial"/>
          <w:b/>
          <w:bCs/>
          <w:lang w:val="pl-PL"/>
        </w:rPr>
        <w:t>naukowczynie</w:t>
      </w:r>
      <w:proofErr w:type="spellEnd"/>
      <w:r w:rsidRPr="006519A0">
        <w:rPr>
          <w:rFonts w:ascii="Arial" w:eastAsia="Arial" w:hAnsi="Arial" w:cs="Arial"/>
          <w:b/>
          <w:bCs/>
          <w:lang w:val="pl-PL"/>
        </w:rPr>
        <w:t xml:space="preserve"> z Uniwersytetu SWPS i Uniwersytetu Stambulskiego.</w:t>
      </w:r>
    </w:p>
    <w:p w14:paraId="59277822" w14:textId="77777777" w:rsidR="0064114F" w:rsidRPr="006519A0" w:rsidRDefault="001E382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519A0">
        <w:rPr>
          <w:sz w:val="20"/>
          <w:szCs w:val="20"/>
          <w:lang w:val="pl-PL"/>
        </w:rPr>
        <w:t>Artykuł „</w:t>
      </w:r>
      <w:hyperlink r:id="rId7">
        <w:r w:rsidRPr="006519A0">
          <w:rPr>
            <w:color w:val="1155CC"/>
            <w:sz w:val="20"/>
            <w:szCs w:val="20"/>
            <w:u w:val="single"/>
            <w:lang w:val="pl-PL"/>
          </w:rPr>
          <w:t xml:space="preserve">The Dynamics of </w:t>
        </w:r>
        <w:proofErr w:type="spellStart"/>
        <w:r w:rsidRPr="006519A0">
          <w:rPr>
            <w:color w:val="1155CC"/>
            <w:sz w:val="20"/>
            <w:szCs w:val="20"/>
            <w:u w:val="single"/>
            <w:lang w:val="pl-PL"/>
          </w:rPr>
          <w:t>Pretend</w:t>
        </w:r>
        <w:proofErr w:type="spellEnd"/>
        <w:r w:rsidRPr="006519A0">
          <w:rPr>
            <w:color w:val="1155CC"/>
            <w:sz w:val="20"/>
            <w:szCs w:val="20"/>
            <w:u w:val="single"/>
            <w:lang w:val="pl-PL"/>
          </w:rPr>
          <w:t xml:space="preserve"> Play: </w:t>
        </w:r>
        <w:proofErr w:type="spellStart"/>
        <w:r w:rsidRPr="006519A0">
          <w:rPr>
            <w:color w:val="1155CC"/>
            <w:sz w:val="20"/>
            <w:szCs w:val="20"/>
            <w:u w:val="single"/>
            <w:lang w:val="pl-PL"/>
          </w:rPr>
          <w:t>Exploring</w:t>
        </w:r>
        <w:proofErr w:type="spellEnd"/>
        <w:r w:rsidRPr="006519A0">
          <w:rPr>
            <w:color w:val="1155CC"/>
            <w:sz w:val="20"/>
            <w:szCs w:val="20"/>
            <w:u w:val="single"/>
            <w:lang w:val="pl-PL"/>
          </w:rPr>
          <w:t xml:space="preserve"> Organization, </w:t>
        </w:r>
        <w:proofErr w:type="spellStart"/>
        <w:r w:rsidRPr="006519A0">
          <w:rPr>
            <w:color w:val="1155CC"/>
            <w:sz w:val="20"/>
            <w:szCs w:val="20"/>
            <w:u w:val="single"/>
            <w:lang w:val="pl-PL"/>
          </w:rPr>
          <w:t>Elaboration</w:t>
        </w:r>
        <w:proofErr w:type="spellEnd"/>
        <w:r w:rsidRPr="006519A0">
          <w:rPr>
            <w:color w:val="1155CC"/>
            <w:sz w:val="20"/>
            <w:szCs w:val="20"/>
            <w:u w:val="single"/>
            <w:lang w:val="pl-PL"/>
          </w:rPr>
          <w:t xml:space="preserve">, and </w:t>
        </w:r>
        <w:proofErr w:type="spellStart"/>
        <w:r w:rsidRPr="006519A0">
          <w:rPr>
            <w:color w:val="1155CC"/>
            <w:sz w:val="20"/>
            <w:szCs w:val="20"/>
            <w:u w:val="single"/>
            <w:lang w:val="pl-PL"/>
          </w:rPr>
          <w:t>Imagination</w:t>
        </w:r>
        <w:proofErr w:type="spellEnd"/>
        <w:r w:rsidRPr="006519A0">
          <w:rPr>
            <w:color w:val="1155CC"/>
            <w:sz w:val="20"/>
            <w:szCs w:val="20"/>
            <w:u w:val="single"/>
            <w:lang w:val="pl-PL"/>
          </w:rPr>
          <w:t xml:space="preserve"> in </w:t>
        </w:r>
        <w:proofErr w:type="spellStart"/>
        <w:r w:rsidRPr="006519A0">
          <w:rPr>
            <w:color w:val="1155CC"/>
            <w:sz w:val="20"/>
            <w:szCs w:val="20"/>
            <w:u w:val="single"/>
            <w:lang w:val="pl-PL"/>
          </w:rPr>
          <w:t>Early</w:t>
        </w:r>
        <w:proofErr w:type="spellEnd"/>
        <w:r w:rsidRPr="006519A0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6519A0">
          <w:rPr>
            <w:color w:val="1155CC"/>
            <w:sz w:val="20"/>
            <w:szCs w:val="20"/>
            <w:u w:val="single"/>
            <w:lang w:val="pl-PL"/>
          </w:rPr>
          <w:t>Childhood</w:t>
        </w:r>
        <w:proofErr w:type="spellEnd"/>
      </w:hyperlink>
      <w:r w:rsidRPr="006519A0">
        <w:rPr>
          <w:sz w:val="20"/>
          <w:szCs w:val="20"/>
          <w:lang w:val="pl-PL"/>
        </w:rPr>
        <w:t>” opublikowały w czasopiśmie „</w:t>
      </w:r>
      <w:proofErr w:type="spellStart"/>
      <w:r w:rsidRPr="006519A0">
        <w:rPr>
          <w:sz w:val="20"/>
          <w:szCs w:val="20"/>
          <w:lang w:val="pl-PL"/>
        </w:rPr>
        <w:t>Early</w:t>
      </w:r>
      <w:proofErr w:type="spellEnd"/>
      <w:r w:rsidRPr="006519A0">
        <w:rPr>
          <w:sz w:val="20"/>
          <w:szCs w:val="20"/>
          <w:lang w:val="pl-PL"/>
        </w:rPr>
        <w:t xml:space="preserve"> </w:t>
      </w:r>
      <w:proofErr w:type="spellStart"/>
      <w:r w:rsidRPr="006519A0">
        <w:rPr>
          <w:sz w:val="20"/>
          <w:szCs w:val="20"/>
          <w:lang w:val="pl-PL"/>
        </w:rPr>
        <w:t>Education</w:t>
      </w:r>
      <w:proofErr w:type="spellEnd"/>
      <w:r w:rsidRPr="006519A0">
        <w:rPr>
          <w:sz w:val="20"/>
          <w:szCs w:val="20"/>
          <w:lang w:val="pl-PL"/>
        </w:rPr>
        <w:t xml:space="preserve"> and Development” psycholożki: dr Natalia Józefacka z Ins</w:t>
      </w:r>
      <w:r w:rsidRPr="006519A0">
        <w:rPr>
          <w:sz w:val="20"/>
          <w:szCs w:val="20"/>
          <w:lang w:val="pl-PL"/>
        </w:rPr>
        <w:t xml:space="preserve">tytutu Psychologii Uniwersytetu SWPS i dr </w:t>
      </w:r>
      <w:proofErr w:type="spellStart"/>
      <w:r w:rsidRPr="006519A0">
        <w:rPr>
          <w:sz w:val="20"/>
          <w:szCs w:val="20"/>
          <w:lang w:val="pl-PL"/>
        </w:rPr>
        <w:t>Beyza</w:t>
      </w:r>
      <w:proofErr w:type="spellEnd"/>
      <w:r w:rsidRPr="006519A0">
        <w:rPr>
          <w:sz w:val="20"/>
          <w:szCs w:val="20"/>
          <w:lang w:val="pl-PL"/>
        </w:rPr>
        <w:t xml:space="preserve"> </w:t>
      </w:r>
      <w:proofErr w:type="spellStart"/>
      <w:r w:rsidRPr="006519A0">
        <w:rPr>
          <w:sz w:val="20"/>
          <w:szCs w:val="20"/>
          <w:lang w:val="pl-PL"/>
        </w:rPr>
        <w:t>Hamamcı</w:t>
      </w:r>
      <w:proofErr w:type="spellEnd"/>
      <w:r w:rsidRPr="006519A0">
        <w:rPr>
          <w:sz w:val="20"/>
          <w:szCs w:val="20"/>
          <w:lang w:val="pl-PL"/>
        </w:rPr>
        <w:t xml:space="preserve"> z Uniwersytetu Stambulskiego. Publikacja stanowi element większego badania na temat tego, jak kształtuje się samoregulacja u dzieci i w jaki sposób najmłodsi są w stanie dopasowywać się do wymagań oto</w:t>
      </w:r>
      <w:r w:rsidRPr="006519A0">
        <w:rPr>
          <w:sz w:val="20"/>
          <w:szCs w:val="20"/>
          <w:lang w:val="pl-PL"/>
        </w:rPr>
        <w:t xml:space="preserve">czenia, w zależności od ich wieku czy płci. </w:t>
      </w:r>
    </w:p>
    <w:p w14:paraId="5A388E63" w14:textId="77777777" w:rsidR="0064114F" w:rsidRPr="006519A0" w:rsidRDefault="001E382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519A0">
        <w:rPr>
          <w:sz w:val="20"/>
          <w:szCs w:val="20"/>
          <w:lang w:val="pl-PL"/>
        </w:rPr>
        <w:t>Proces samoregulacji u dzieci był badany w różnych aspektach, m.in. poprzez obserwację swobodnej zabawy. – Do tej pory było wiadomo z literatury, że forma zabawy zmienia się wraz z wiekiem</w:t>
      </w:r>
      <w:r w:rsidRPr="006519A0">
        <w:rPr>
          <w:sz w:val="20"/>
          <w:szCs w:val="20"/>
          <w:vertAlign w:val="superscript"/>
          <w:lang w:val="pl-PL"/>
        </w:rPr>
        <w:footnoteReference w:id="1"/>
      </w:r>
      <w:r w:rsidRPr="006519A0">
        <w:rPr>
          <w:sz w:val="20"/>
          <w:szCs w:val="20"/>
          <w:lang w:val="pl-PL"/>
        </w:rPr>
        <w:t>, a najbardziej inten</w:t>
      </w:r>
      <w:r w:rsidRPr="006519A0">
        <w:rPr>
          <w:sz w:val="20"/>
          <w:szCs w:val="20"/>
          <w:lang w:val="pl-PL"/>
        </w:rPr>
        <w:t>sywny okres przypada na okres przedszkolny</w:t>
      </w:r>
      <w:r w:rsidRPr="006519A0">
        <w:rPr>
          <w:sz w:val="20"/>
          <w:szCs w:val="20"/>
          <w:vertAlign w:val="superscript"/>
          <w:lang w:val="pl-PL"/>
        </w:rPr>
        <w:footnoteReference w:id="2"/>
      </w:r>
      <w:r w:rsidRPr="006519A0">
        <w:rPr>
          <w:sz w:val="20"/>
          <w:szCs w:val="20"/>
          <w:lang w:val="pl-PL"/>
        </w:rPr>
        <w:t xml:space="preserve"> – mówi autorka badania dr Natalia Józefacka. Większość dotychczasowych badań w tym kierunku odbywała się jednak w warunkach laboratoryjnych i najczęściej dotyczyła zabawy między dwójką dzieci (np. rodzeństwem) l</w:t>
      </w:r>
      <w:r w:rsidRPr="006519A0">
        <w:rPr>
          <w:sz w:val="20"/>
          <w:szCs w:val="20"/>
          <w:lang w:val="pl-PL"/>
        </w:rPr>
        <w:t xml:space="preserve">ub między rodzicem i dzieckiem. Badaczkom zależało natomiast na tym, żeby sprawdzić, jak dzieci bawią się w naturalnym środowisku, wśród kolegów  i koleżanek. </w:t>
      </w:r>
    </w:p>
    <w:p w14:paraId="46BB443B" w14:textId="77777777" w:rsidR="0064114F" w:rsidRPr="006519A0" w:rsidRDefault="001E382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519A0">
        <w:rPr>
          <w:sz w:val="20"/>
          <w:szCs w:val="20"/>
          <w:lang w:val="pl-PL"/>
        </w:rPr>
        <w:t xml:space="preserve">Dr Józefacka zauważa, że w polskich przedszkolach duży nacisk kładzie się na zajęcia </w:t>
      </w:r>
      <w:r w:rsidRPr="006519A0">
        <w:rPr>
          <w:sz w:val="20"/>
          <w:szCs w:val="20"/>
          <w:lang w:val="pl-PL"/>
        </w:rPr>
        <w:lastRenderedPageBreak/>
        <w:t>edukacyjne,</w:t>
      </w:r>
      <w:r w:rsidRPr="006519A0">
        <w:rPr>
          <w:sz w:val="20"/>
          <w:szCs w:val="20"/>
          <w:lang w:val="pl-PL"/>
        </w:rPr>
        <w:t xml:space="preserve"> tymczasem zabawa jest niezbędna do prawidłowego rozwoju dziecka. – W zabawie swobodnej, wcielając się w różne postaci, dzieci mogą samodzielnie trenować umiejętności społeczne, które zdobywają, m.in. obserwując dorosłych – tłumaczy dr Józefacka. </w:t>
      </w:r>
    </w:p>
    <w:p w14:paraId="1935643A" w14:textId="77777777" w:rsidR="0064114F" w:rsidRPr="006519A0" w:rsidRDefault="001E382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519A0">
        <w:rPr>
          <w:sz w:val="20"/>
          <w:szCs w:val="20"/>
          <w:lang w:val="pl-PL"/>
        </w:rPr>
        <w:t xml:space="preserve">Celem </w:t>
      </w:r>
      <w:proofErr w:type="spellStart"/>
      <w:r w:rsidRPr="006519A0">
        <w:rPr>
          <w:sz w:val="20"/>
          <w:szCs w:val="20"/>
          <w:lang w:val="pl-PL"/>
        </w:rPr>
        <w:t>na</w:t>
      </w:r>
      <w:r w:rsidRPr="006519A0">
        <w:rPr>
          <w:sz w:val="20"/>
          <w:szCs w:val="20"/>
          <w:lang w:val="pl-PL"/>
        </w:rPr>
        <w:t>ukowczyń</w:t>
      </w:r>
      <w:proofErr w:type="spellEnd"/>
      <w:r w:rsidRPr="006519A0">
        <w:rPr>
          <w:sz w:val="20"/>
          <w:szCs w:val="20"/>
          <w:lang w:val="pl-PL"/>
        </w:rPr>
        <w:t xml:space="preserve"> było też pokazanie, jak przebiega pojedynczy cykl zabawy, że dzieci potrzebują czasu, aby ją rozwinąć, bo przecież najpierw trzeba ją obmyślić, zorganizować. Dopiero potem zabawa się rozwija, a w pewnym momencie kończą się pomysły, dzieci nudzą si</w:t>
      </w:r>
      <w:r w:rsidRPr="006519A0">
        <w:rPr>
          <w:sz w:val="20"/>
          <w:szCs w:val="20"/>
          <w:lang w:val="pl-PL"/>
        </w:rPr>
        <w:t xml:space="preserve">ę i zaczynają szukać czegoś nowego. </w:t>
      </w:r>
    </w:p>
    <w:p w14:paraId="3052C1EA" w14:textId="77777777" w:rsidR="0064114F" w:rsidRPr="006519A0" w:rsidRDefault="001E382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519A0">
        <w:rPr>
          <w:b/>
          <w:bCs/>
          <w:sz w:val="20"/>
          <w:szCs w:val="20"/>
          <w:lang w:val="pl-PL"/>
        </w:rPr>
        <w:t>Kiedy zabawa wciąga najbardziej</w:t>
      </w:r>
    </w:p>
    <w:p w14:paraId="71E5F45D" w14:textId="77777777" w:rsidR="0064114F" w:rsidRPr="006519A0" w:rsidRDefault="001E382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519A0">
        <w:rPr>
          <w:sz w:val="20"/>
          <w:szCs w:val="20"/>
          <w:lang w:val="pl-PL"/>
        </w:rPr>
        <w:t>Badaczki analizowały zachowanie 93 polskich dzieci w wieku od 3 do 6 lat podczas 30-minutowej zabawy. Szczególnie interesowały je trzy elementy: organizacja (czyli jakość i złożoność twor</w:t>
      </w:r>
      <w:r w:rsidRPr="006519A0">
        <w:rPr>
          <w:sz w:val="20"/>
          <w:szCs w:val="20"/>
          <w:lang w:val="pl-PL"/>
        </w:rPr>
        <w:t xml:space="preserve">zenia fabuły), rozbudowanie (dbałość o szczegóły i odgrywanie ról) oraz wyobraźnia (znajdująca odbicie m.in. w kreatywnym wykorzystywaniu przedmiotów). </w:t>
      </w:r>
    </w:p>
    <w:p w14:paraId="1DDC8322" w14:textId="77777777" w:rsidR="0064114F" w:rsidRPr="006519A0" w:rsidRDefault="001E382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519A0">
        <w:rPr>
          <w:sz w:val="20"/>
          <w:szCs w:val="20"/>
          <w:lang w:val="pl-PL"/>
        </w:rPr>
        <w:t>Zaznajomionym ze sobą dzieciom przebywającym w znanym im otoczeniu przedszkolnym zaoferowano trzy stano</w:t>
      </w:r>
      <w:r w:rsidRPr="006519A0">
        <w:rPr>
          <w:sz w:val="20"/>
          <w:szCs w:val="20"/>
          <w:lang w:val="pl-PL"/>
        </w:rPr>
        <w:t>wiska zabawy „w udawanie”: z kostiumami, z klockami Lego i kącik kuchenny. Maluchom nie dano żadnych wskazówek, powiedziano im po prostu, że mogą się bawić. Obserwowano przez 30 minut, jak przebiega proces zabawy. Całość była nagrywana.</w:t>
      </w:r>
    </w:p>
    <w:p w14:paraId="2F9F5FD5" w14:textId="77777777" w:rsidR="0064114F" w:rsidRPr="006519A0" w:rsidRDefault="001E382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519A0">
        <w:rPr>
          <w:sz w:val="20"/>
          <w:szCs w:val="20"/>
          <w:lang w:val="pl-PL"/>
        </w:rPr>
        <w:t>Najważniejszym wnio</w:t>
      </w:r>
      <w:r w:rsidRPr="006519A0">
        <w:rPr>
          <w:sz w:val="20"/>
          <w:szCs w:val="20"/>
          <w:lang w:val="pl-PL"/>
        </w:rPr>
        <w:t>skiem z badania jest to, że zaangażowanie dziecka w zabawę nie jest stałe i że cały proces ma swój rytm. Okazało się, że szczyt zaangażowania, kiedy dzieci są najaktywniejsze i najmocniej zaabsorbowane zabawą, przypada na okres między 10 a 15 minutą od jej</w:t>
      </w:r>
      <w:r w:rsidRPr="006519A0">
        <w:rPr>
          <w:sz w:val="20"/>
          <w:szCs w:val="20"/>
          <w:lang w:val="pl-PL"/>
        </w:rPr>
        <w:t xml:space="preserve"> rozpoczęcia. Tendencja ta utrzymywała się niezależnie od płci dzieci. Pojawiały się natomiast niewielkie różnice między dziewczynkami i chłopcami w zakresie poziomu zaangażowania. U chłopców dochodziło ono do pewnego punktu i pozostawało na nim właściwie </w:t>
      </w:r>
      <w:r w:rsidRPr="006519A0">
        <w:rPr>
          <w:sz w:val="20"/>
          <w:szCs w:val="20"/>
          <w:lang w:val="pl-PL"/>
        </w:rPr>
        <w:t>do końca zadania, z kolei u dziewczynek rosło szybciej, a następnie spadało do mniej więcej tego samego poziomu co u chłopców.</w:t>
      </w:r>
    </w:p>
    <w:p w14:paraId="102C35DD" w14:textId="77777777" w:rsidR="0064114F" w:rsidRPr="006519A0" w:rsidRDefault="001E382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519A0">
        <w:rPr>
          <w:b/>
          <w:bCs/>
          <w:sz w:val="20"/>
          <w:szCs w:val="20"/>
          <w:lang w:val="pl-PL"/>
        </w:rPr>
        <w:lastRenderedPageBreak/>
        <w:t>Dziewczynki i chłopcy: łączy ich wyobraźnia</w:t>
      </w:r>
    </w:p>
    <w:p w14:paraId="0B1B1DB4" w14:textId="77777777" w:rsidR="0064114F" w:rsidRPr="006519A0" w:rsidRDefault="001E382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519A0">
        <w:rPr>
          <w:sz w:val="20"/>
          <w:szCs w:val="20"/>
          <w:lang w:val="pl-PL"/>
        </w:rPr>
        <w:t>A jak dzieci różnią się podczas zabawy? Dziewczynki uzyskały wyższe wyniki we wszystk</w:t>
      </w:r>
      <w:r w:rsidRPr="006519A0">
        <w:rPr>
          <w:sz w:val="20"/>
          <w:szCs w:val="20"/>
          <w:lang w:val="pl-PL"/>
        </w:rPr>
        <w:t>ich mierzonych aspektach, wykazywały się większą dbałością o strukturę opowieści i detale. Ich zabawa częściej opierała się na tworzeniu złożonych narracji.</w:t>
      </w:r>
    </w:p>
    <w:p w14:paraId="2A4F41A2" w14:textId="77777777" w:rsidR="0064114F" w:rsidRPr="006519A0" w:rsidRDefault="001E382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519A0">
        <w:rPr>
          <w:sz w:val="20"/>
          <w:szCs w:val="20"/>
          <w:lang w:val="pl-PL"/>
        </w:rPr>
        <w:t>Z kolei chłopcy częściej wybierali zabawę nastawioną na działanie i ruch. Co ciekawe, najmniejsze r</w:t>
      </w:r>
      <w:r w:rsidRPr="006519A0">
        <w:rPr>
          <w:sz w:val="20"/>
          <w:szCs w:val="20"/>
          <w:lang w:val="pl-PL"/>
        </w:rPr>
        <w:t>óżnice między płciami odnotowano w obszarze wyobraźni – zarówno chłopcy, jak i dziewczynki radzą sobie na podobnym poziomie z tworzeniem fantastycznych scenariuszy.</w:t>
      </w:r>
    </w:p>
    <w:p w14:paraId="3D95A304" w14:textId="77777777" w:rsidR="0064114F" w:rsidRPr="006519A0" w:rsidRDefault="001E382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519A0">
        <w:rPr>
          <w:sz w:val="20"/>
          <w:szCs w:val="20"/>
          <w:lang w:val="pl-PL"/>
        </w:rPr>
        <w:t>Jak zabawa zmienia się wraz z wiekiem? Im starsze dzieci, tym zabawa ewoluuje w kierunku ba</w:t>
      </w:r>
      <w:r w:rsidRPr="006519A0">
        <w:rPr>
          <w:sz w:val="20"/>
          <w:szCs w:val="20"/>
          <w:lang w:val="pl-PL"/>
        </w:rPr>
        <w:t xml:space="preserve">rdziej ustrukturyzowanej. I o ile trzylatki bawią się w sposób bardziej spontaniczny, to ich zaangażowanie jest mniej stabilne i szybciej tracą zainteresowanie. Natomiast starsze dzieci (5-6-latki) potrafią koncentrować się znacznie dłużej. </w:t>
      </w:r>
    </w:p>
    <w:p w14:paraId="309BAF04" w14:textId="77777777" w:rsidR="0064114F" w:rsidRPr="006519A0" w:rsidRDefault="001E382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519A0">
        <w:rPr>
          <w:sz w:val="20"/>
          <w:szCs w:val="20"/>
          <w:lang w:val="pl-PL"/>
        </w:rPr>
        <w:t>– Okres między</w:t>
      </w:r>
      <w:r w:rsidRPr="006519A0">
        <w:rPr>
          <w:sz w:val="20"/>
          <w:szCs w:val="20"/>
          <w:lang w:val="pl-PL"/>
        </w:rPr>
        <w:t xml:space="preserve"> 4. a 5. rokiem życia jest przełomowy dla przedszkolaka. Im dziecko jest starsze, tym jest w stanie zdecydowanie lepiej organizować zabawę. Dzieci 5-6-letnie od samego rozpoczęcia zabawy potrafią się mocniej angażować, oraz trwać w niej nawet powyżej 30 mi</w:t>
      </w:r>
      <w:r w:rsidRPr="006519A0">
        <w:rPr>
          <w:sz w:val="20"/>
          <w:szCs w:val="20"/>
          <w:lang w:val="pl-PL"/>
        </w:rPr>
        <w:t>nut. Natomiast u dzieci 3-4-letnich wraz z upływającym czasem widać już element znużenia – wyjaśnia psycholożka.</w:t>
      </w:r>
    </w:p>
    <w:p w14:paraId="5F95E8C5" w14:textId="77777777" w:rsidR="0064114F" w:rsidRPr="006519A0" w:rsidRDefault="001E382A">
      <w:pPr>
        <w:spacing w:before="240" w:line="300" w:lineRule="auto"/>
        <w:jc w:val="both"/>
        <w:rPr>
          <w:sz w:val="20"/>
          <w:szCs w:val="20"/>
          <w:lang w:val="pl-PL"/>
        </w:rPr>
      </w:pPr>
      <w:r w:rsidRPr="006519A0">
        <w:rPr>
          <w:b/>
          <w:bCs/>
          <w:sz w:val="20"/>
          <w:szCs w:val="20"/>
          <w:lang w:val="pl-PL"/>
        </w:rPr>
        <w:t>Więcej czasu na zabawę</w:t>
      </w:r>
    </w:p>
    <w:p w14:paraId="150FAFE0" w14:textId="77777777" w:rsidR="0064114F" w:rsidRPr="006519A0" w:rsidRDefault="001E382A">
      <w:pPr>
        <w:spacing w:before="240" w:after="200" w:line="300" w:lineRule="auto"/>
        <w:jc w:val="both"/>
        <w:rPr>
          <w:sz w:val="20"/>
          <w:szCs w:val="20"/>
          <w:lang w:val="pl-PL"/>
        </w:rPr>
      </w:pPr>
      <w:r w:rsidRPr="006519A0">
        <w:rPr>
          <w:sz w:val="20"/>
          <w:szCs w:val="20"/>
          <w:lang w:val="pl-PL"/>
        </w:rPr>
        <w:t xml:space="preserve">Okazuje się zatem, że swobodna zabawa, kiedy wyobraźnia i zdolności organizacyjne maluchów wchodzą na najwyższe obroty, </w:t>
      </w:r>
      <w:r w:rsidRPr="006519A0">
        <w:rPr>
          <w:sz w:val="20"/>
          <w:szCs w:val="20"/>
          <w:lang w:val="pl-PL"/>
        </w:rPr>
        <w:t>jest istotnym elementem w rozwoju dziecka, dlatego warto pozwolić najmłodszym bawić się w spokoju, nie przerywając w trakcie. – Nasze wyniki sugerują, że w edukacji przedszkolnej potrzebna jest równowaga między zajęciami edukacyjnymi a swobodną zabawą. Zab</w:t>
      </w:r>
      <w:r w:rsidRPr="006519A0">
        <w:rPr>
          <w:sz w:val="20"/>
          <w:szCs w:val="20"/>
          <w:lang w:val="pl-PL"/>
        </w:rPr>
        <w:t>awa powinna być wystarczająco długa, żeby dzieci mogły rozwinąć wymyślony scenariusz i w jej trakcie trenować umiejętności regulacyjne. To jest taka arena, na której mogą ćwiczyć to, co będzie im potrzebne później w szkole. A do tego potrzebują czasu: żeby</w:t>
      </w:r>
      <w:r w:rsidRPr="006519A0">
        <w:rPr>
          <w:sz w:val="20"/>
          <w:szCs w:val="20"/>
          <w:lang w:val="pl-PL"/>
        </w:rPr>
        <w:t xml:space="preserve"> zbudować zabawę w całości, żeby ją zakończyć, a nawet móc się nią znudzić – </w:t>
      </w:r>
      <w:r w:rsidRPr="006519A0">
        <w:rPr>
          <w:sz w:val="20"/>
          <w:szCs w:val="20"/>
          <w:lang w:val="pl-PL"/>
        </w:rPr>
        <w:lastRenderedPageBreak/>
        <w:t>podkreśla dr Józefacka.</w:t>
      </w:r>
    </w:p>
    <w:p w14:paraId="15DAE3D8" w14:textId="77777777" w:rsidR="0064114F" w:rsidRPr="006519A0" w:rsidRDefault="001E382A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6519A0">
        <w:rPr>
          <w:sz w:val="20"/>
          <w:szCs w:val="20"/>
          <w:lang w:val="pl-PL"/>
        </w:rPr>
        <w:t>Wyniki badania stanowią dowód na to, że swobodna zabawa nie jest zajęciem bezproduktywnym, ale ważnym narzędziem do budowania kompetencji młodego pokolenia</w:t>
      </w:r>
      <w:r w:rsidRPr="006519A0">
        <w:rPr>
          <w:sz w:val="20"/>
          <w:szCs w:val="20"/>
          <w:lang w:val="pl-PL"/>
        </w:rPr>
        <w:t>, na które powinno się przeznaczyć odpowiednio dużo czasu.</w:t>
      </w:r>
    </w:p>
    <w:p w14:paraId="0963832E" w14:textId="77777777" w:rsidR="0064114F" w:rsidRPr="006519A0" w:rsidRDefault="001E382A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  <w:r w:rsidRPr="006519A0">
        <w:rPr>
          <w:rFonts w:ascii="Arial" w:eastAsia="Arial" w:hAnsi="Arial" w:cs="Arial"/>
          <w:b/>
          <w:bCs/>
          <w:lang w:val="pl-PL"/>
        </w:rPr>
        <w:t>****</w:t>
      </w:r>
    </w:p>
    <w:p w14:paraId="49AC278B" w14:textId="77777777" w:rsidR="0064114F" w:rsidRPr="006519A0" w:rsidRDefault="0064114F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6C75E34C" w14:textId="77777777" w:rsidR="0064114F" w:rsidRPr="006519A0" w:rsidRDefault="001E382A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6519A0">
        <w:rPr>
          <w:b/>
          <w:bCs/>
          <w:sz w:val="20"/>
          <w:szCs w:val="20"/>
          <w:lang w:val="pl-PL"/>
        </w:rPr>
        <w:t>Uniwersytet SWPS</w:t>
      </w:r>
      <w:r w:rsidRPr="006519A0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naukowymi prowadzonymi na najwyższym poziomie. Uczelnia kształci blisko 18 tys. studentek i studentów – w tym ponad tysiąc z </w:t>
      </w:r>
      <w:r w:rsidRPr="006519A0">
        <w:rPr>
          <w:sz w:val="20"/>
          <w:szCs w:val="20"/>
          <w:lang w:val="pl-PL"/>
        </w:rPr>
        <w:t>zagranicy oraz ponad 4,5 tys. słuchaczek i słuchaczy studiów podyplomowych na ponad 50 kierunkach studiów stacjonarnych i ponad 40 niestacjonarnych i ok. 240 kierunkach studiów podyplomowych. Uniwersytet oferuje programy studiów z psychologii, prawa, zarzą</w:t>
      </w:r>
      <w:r w:rsidRPr="006519A0">
        <w:rPr>
          <w:sz w:val="20"/>
          <w:szCs w:val="20"/>
          <w:lang w:val="pl-PL"/>
        </w:rPr>
        <w:t>dzania, dziennikarstwa, filologii, kulturoznawstwa, nowych technologii oraz grafiki i wzornictwa, a także edukację w postaci szkoleń i krótkich kursów akademickich. Uczelnia dba o wysoką wartość akademicką naszych programów oraz ich dostosowanie do wymagań</w:t>
      </w:r>
      <w:r w:rsidRPr="006519A0">
        <w:rPr>
          <w:sz w:val="20"/>
          <w:szCs w:val="20"/>
          <w:lang w:val="pl-PL"/>
        </w:rPr>
        <w:t xml:space="preserve"> zmieniającego się rynku pracy. Kampusy Uniwersytetu SWPS znajdują się w sześciu miastach: Warszawie (siedziba), Wrocławiu, Sopocie, Poznaniu, Katowicach i w Krakowie.</w:t>
      </w:r>
    </w:p>
    <w:p w14:paraId="019DD8B8" w14:textId="77777777" w:rsidR="0064114F" w:rsidRPr="006519A0" w:rsidRDefault="0064114F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1F8FB2EF" w14:textId="77777777" w:rsidR="0064114F" w:rsidRPr="006519A0" w:rsidRDefault="001E382A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6519A0">
        <w:rPr>
          <w:sz w:val="20"/>
          <w:szCs w:val="20"/>
          <w:lang w:val="pl-PL"/>
        </w:rPr>
        <w:t>Uczelnia posiada uprawnienia do nadawania stopnia doktora oraz doktora habilitowanego w</w:t>
      </w:r>
      <w:r w:rsidRPr="006519A0">
        <w:rPr>
          <w:sz w:val="20"/>
          <w:szCs w:val="20"/>
          <w:lang w:val="pl-PL"/>
        </w:rPr>
        <w:t xml:space="preserve"> siedmiu dyscyplinach: psychologia, nauki o kulturze i religii, literaturoznawstwo, nauki prawne, nauki socjologiczne, nauki o polityce i administracji, sztuki plastyczne i konserwacja dzieł sztuki. Na Uniwersytecie SWPS funkcjonuje pięć instytutów naukowy</w:t>
      </w:r>
      <w:r w:rsidRPr="006519A0">
        <w:rPr>
          <w:sz w:val="20"/>
          <w:szCs w:val="20"/>
          <w:lang w:val="pl-PL"/>
        </w:rPr>
        <w:t>ch, które zajmują się organizacją i koordynacją działalności naukowej pracowników badawczych i badawczo-dydaktycznych uczelni w poszczególnych dyscyplinach: Instytut Psychologii, Instytut Nauk Humanistycznych, Instytut Nauk Społecznych, Instytut Prawa oraz</w:t>
      </w:r>
      <w:r w:rsidRPr="006519A0">
        <w:rPr>
          <w:sz w:val="20"/>
          <w:szCs w:val="20"/>
          <w:lang w:val="pl-PL"/>
        </w:rPr>
        <w:t xml:space="preserve"> Instytut Projektowania. W uczelni działa blisko 30 centrów badawczych oraz ponad 175 kół naukowych.</w:t>
      </w:r>
    </w:p>
    <w:p w14:paraId="66D0351E" w14:textId="77777777" w:rsidR="0064114F" w:rsidRPr="006519A0" w:rsidRDefault="0064114F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5C92B160" w14:textId="77777777" w:rsidR="0064114F" w:rsidRPr="006519A0" w:rsidRDefault="001E382A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6519A0">
        <w:rPr>
          <w:sz w:val="20"/>
          <w:szCs w:val="20"/>
          <w:lang w:val="pl-PL"/>
        </w:rPr>
        <w:t xml:space="preserve">Uniwersytet SWPS należy do sojuszu </w:t>
      </w:r>
      <w:proofErr w:type="spellStart"/>
      <w:r w:rsidRPr="006519A0">
        <w:rPr>
          <w:sz w:val="20"/>
          <w:szCs w:val="20"/>
          <w:lang w:val="pl-PL"/>
        </w:rPr>
        <w:t>European</w:t>
      </w:r>
      <w:proofErr w:type="spellEnd"/>
      <w:r w:rsidRPr="006519A0">
        <w:rPr>
          <w:sz w:val="20"/>
          <w:szCs w:val="20"/>
          <w:lang w:val="pl-PL"/>
        </w:rPr>
        <w:t xml:space="preserve"> Reform University Alliance (ERUA). Jest to sojusz uczelni zawarty w ramach Inicjatywy Uniwersytetów Europejski</w:t>
      </w:r>
      <w:r w:rsidRPr="006519A0">
        <w:rPr>
          <w:sz w:val="20"/>
          <w:szCs w:val="20"/>
          <w:lang w:val="pl-PL"/>
        </w:rPr>
        <w:t>ch, powołanej i finansowanej przez Komisję Europejską.</w:t>
      </w:r>
    </w:p>
    <w:p w14:paraId="02ABA092" w14:textId="77777777" w:rsidR="0064114F" w:rsidRPr="006519A0" w:rsidRDefault="0064114F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sectPr w:rsidR="0064114F" w:rsidRPr="006519A0">
      <w:headerReference w:type="even" r:id="rId8"/>
      <w:headerReference w:type="default" r:id="rId9"/>
      <w:footerReference w:type="default" r:id="rId10"/>
      <w:headerReference w:type="first" r:id="rId11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B1E4E6" w14:textId="77777777" w:rsidR="001E382A" w:rsidRDefault="001E382A">
      <w:r>
        <w:separator/>
      </w:r>
    </w:p>
  </w:endnote>
  <w:endnote w:type="continuationSeparator" w:id="0">
    <w:p w14:paraId="677E05F4" w14:textId="77777777" w:rsidR="001E382A" w:rsidRDefault="001E38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20FE0ADE-7BBF-4E45-9748-2FDBA50441E2}"/>
    <w:embedBold r:id="rId2" w:fontKey="{91A7FCB8-F8A3-4EB7-88CA-2016FB64F29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F73119DC-ADBE-4E6B-854D-7571679FFC36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A19486D7-5DE3-4BF8-9090-BED2174B7040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27CA9FD2-D0C7-4945-A329-E81C58DE262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6E79B3B2-D97F-426A-ADF1-8F1CEDE4830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7B85A" w14:textId="77777777" w:rsidR="0064114F" w:rsidRDefault="001E382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1DD4032D" wp14:editId="698A9BB4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5" name="Prostokąt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A74BC56" w14:textId="77777777" w:rsidR="0064114F" w:rsidRDefault="001E382A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4B6A0E2D" w14:textId="77777777" w:rsidR="0064114F" w:rsidRDefault="001E382A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b="0" l="0" r="0" t="0"/>
              <wp:wrapNone/>
              <wp:docPr id="15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80635" cy="43675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058437BD" wp14:editId="3C5AFDFD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16" name="Prostokąt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294FED" w14:textId="77777777" w:rsidR="0064114F" w:rsidRDefault="001E382A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b="0" l="0" r="0" t="0"/>
              <wp:wrapNone/>
              <wp:docPr id="16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68475" cy="1861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66F3A2" w14:textId="77777777" w:rsidR="001E382A" w:rsidRDefault="001E382A">
      <w:r>
        <w:separator/>
      </w:r>
    </w:p>
  </w:footnote>
  <w:footnote w:type="continuationSeparator" w:id="0">
    <w:p w14:paraId="58A78909" w14:textId="77777777" w:rsidR="001E382A" w:rsidRDefault="001E382A">
      <w:r>
        <w:continuationSeparator/>
      </w:r>
    </w:p>
  </w:footnote>
  <w:footnote w:id="1">
    <w:p w14:paraId="59AEE8F2" w14:textId="77777777" w:rsidR="0064114F" w:rsidRDefault="001E382A">
      <w:pPr>
        <w:rPr>
          <w:sz w:val="20"/>
          <w:szCs w:val="20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Harris, P. L., Kavanaugh, R. D., Wellman, H. M., &amp; Hickling, A. K. (1993). Young children’s understanding of pretense. Monographs of the Society for Research in Child Development, 58(1), v–92. https://doi.org/10.2307/1166074</w:t>
      </w:r>
    </w:p>
  </w:footnote>
  <w:footnote w:id="2">
    <w:p w14:paraId="262B70C5" w14:textId="77777777" w:rsidR="0064114F" w:rsidRDefault="001E382A">
      <w:pPr>
        <w:rPr>
          <w:sz w:val="16"/>
          <w:szCs w:val="16"/>
        </w:rPr>
      </w:pPr>
      <w:r>
        <w:rPr>
          <w:vertAlign w:val="superscript"/>
        </w:rPr>
        <w:footnoteRef/>
      </w:r>
      <w:r w:rsidRPr="006519A0">
        <w:rPr>
          <w:sz w:val="20"/>
          <w:szCs w:val="20"/>
          <w:lang w:val="pl-PL"/>
        </w:rPr>
        <w:t xml:space="preserve"> </w:t>
      </w:r>
      <w:r w:rsidRPr="006519A0">
        <w:rPr>
          <w:sz w:val="16"/>
          <w:szCs w:val="16"/>
          <w:lang w:val="pl-PL"/>
        </w:rPr>
        <w:t>Wołoszczynowa, L. (1966). Ps</w:t>
      </w:r>
      <w:r w:rsidRPr="006519A0">
        <w:rPr>
          <w:sz w:val="16"/>
          <w:szCs w:val="16"/>
          <w:lang w:val="pl-PL"/>
        </w:rPr>
        <w:t xml:space="preserve">ychologia ogólna i rozwojowa w zarysie (2nd ed.). </w:t>
      </w:r>
      <w:proofErr w:type="spellStart"/>
      <w:r>
        <w:rPr>
          <w:sz w:val="16"/>
          <w:szCs w:val="16"/>
        </w:rPr>
        <w:t>Państwowe</w:t>
      </w:r>
      <w:proofErr w:type="spellEnd"/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Zakłady</w:t>
      </w:r>
      <w:proofErr w:type="spellEnd"/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Wydawnictw</w:t>
      </w:r>
      <w:proofErr w:type="spellEnd"/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Szkolnych</w:t>
      </w:r>
      <w:proofErr w:type="spellEnd"/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E77DE9" w14:textId="77777777" w:rsidR="0064114F" w:rsidRDefault="001E382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26B41D0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CC1AFE" w14:textId="77777777" w:rsidR="0064114F" w:rsidRDefault="001E382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66CAE0E5" wp14:editId="1022B059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1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63BA60" w14:textId="77777777" w:rsidR="0064114F" w:rsidRDefault="001E382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09CEB2D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114F"/>
    <w:rsid w:val="001E382A"/>
    <w:rsid w:val="0064114F"/>
    <w:rsid w:val="00651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55FDE5AB"/>
  <w15:docId w15:val="{77E200B9-2488-4811-B887-FD4311160E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tandfonline.com/doi/full/10.1080/10409289.2025.2562146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z4NXM2ZNEXVapdFpo2QcDKt43Q==">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1099</Words>
  <Characters>6598</Characters>
  <Application>Microsoft Office Word</Application>
  <DocSecurity>0</DocSecurity>
  <Lines>54</Lines>
  <Paragraphs>15</Paragraphs>
  <ScaleCrop>false</ScaleCrop>
  <Company>Uniwersytet SWPS</Company>
  <LinksUpToDate>false</LinksUpToDate>
  <CharactersWithSpaces>7682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Marta Danowska-Kisiel</cp:lastModifiedBy>
  <cp:revision>2</cp:revision>
  <dcterms:created xsi:type="dcterms:W3CDTF">2026-02-10T06:53:00Z</dcterms:created>
  <dcterms:modified xsi:type="dcterms:W3CDTF">2026-02-10T06:54:00Z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